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headerReference r:id="rId6" w:type="default"/>
      <w:footerReference r:id="rId7" w:type="default"/>
    </w:sectPr>
    <w:p>
      <w:pPr>
        <w:spacing w:lineRule="auto"/>
      </w:pPr>
      <w:r>
        <w:rPr/>
        <w:t xml:space="preserve">Summary of Three Sessions of the Texas Senate Hearing on Jurisprudence</w:t>
      </w:r>
      <w:r>
        <w:rPr/>
        <w:br w:type="textWrapping"/>
      </w:r>
      <w:r>
        <w:rPr/>
        <w:t xml:space="preserve">Date: April 21, 2025</w:t>
      </w:r>
    </w:p>
    <w:p>
      <w:pPr>
        <w:spacing w:lineRule="auto"/>
      </w:pPr>
      <w:r>
        <w:rPr/>
        <w:t xml:space="preserve">This document provides a synthesized overview of three sessions from the October 11, 2006 Texas Senate Hearing on Jurisprudence. The discussions addressed several core topics including judicial reporting technologies, jurisdictional issues in county courts (with particular emphasis on family law), and concerns related to fiduciary litigation and recusal practices in probate matters.</w:t>
      </w:r>
    </w:p>
    <w:p>
      <w:pPr>
        <w:spacing w:lineRule="auto"/>
      </w:pPr>
      <w:r>
        <w:rPr/>
        <w:t xml:space="preserve">I. Electronic Court Reporting and Accountability</w:t>
      </w:r>
      <w:r>
        <w:rPr/>
        <w:br w:type="textWrapping"/>
      </w:r>
      <w:r>
        <w:rPr/>
        <w:t xml:space="preserve">• Testimony emphasized the accountability of court reporters—including certification, potential civil and criminal consequences for errors, and responsibilities in maintaining the public record.</w:t>
      </w:r>
      <w:r>
        <w:rPr/>
        <w:br w:type="textWrapping"/>
      </w:r>
      <w:r>
        <w:rPr/>
        <w:t xml:space="preserve">• Witnesses, including Glenda Fuller and Jody Hughes, discussed the merits of traditional stenographic reporting versus emerging electronic recording systems.</w:t>
      </w:r>
      <w:r>
        <w:rPr/>
        <w:br w:type="textWrapping"/>
      </w:r>
      <w:r>
        <w:rPr/>
        <w:t xml:space="preserve">• Observations were made on the advantages of electronic systems in terms of cost, speed, and overall accuracy, while also noting that some cases (such as capital murder trials) may benefit from a live reporter’s nuance.</w:t>
      </w:r>
      <w:r>
        <w:rPr/>
        <w:br w:type="textWrapping"/>
      </w:r>
      <w:r>
        <w:rPr/>
        <w:t xml:space="preserve">• The debate touched on statutory limitations that have historically favored human shorthand reporting and the need to reassess these legal monopolies to keep pace with technological advances.</w:t>
      </w:r>
    </w:p>
    <w:p>
      <w:pPr>
        <w:spacing w:lineRule="auto"/>
      </w:pPr>
      <w:r>
        <w:rPr/>
        <w:t xml:space="preserve">II. Jurisdiction and Standardization in Statutory County Courts</w:t>
      </w:r>
      <w:r>
        <w:rPr/>
        <w:br w:type="textWrapping"/>
      </w:r>
      <w:r>
        <w:rPr/>
        <w:t xml:space="preserve">• A panel of county court judges and a court manager reviewed proposals to clarify and standardize the jurisdictional language in Chapter 25 of the Government Code.</w:t>
      </w:r>
      <w:r>
        <w:rPr/>
        <w:br w:type="textWrapping"/>
      </w:r>
      <w:r>
        <w:rPr/>
        <w:t xml:space="preserve">• Several judges from counties (Lubbock, Gregg, and Harris), testified on the current jurisdictional dilemmas facing statutory county courts, particularly regarding the allocation of family law cases.</w:t>
      </w:r>
      <w:r>
        <w:rPr/>
        <w:br w:type="textWrapping"/>
      </w:r>
      <w:r>
        <w:rPr/>
        <w:t xml:space="preserve">• Discussion highlighted the patchwork nature of family law jurisdiction across counties. Some counties have broad jurisdiction while others limit the scope, leading to local solutions such as agreements between county and district judges to manage case flow.</w:t>
      </w:r>
      <w:r>
        <w:rPr/>
        <w:br w:type="textWrapping"/>
      </w:r>
      <w:r>
        <w:rPr/>
        <w:t xml:space="preserve">• The Texas Family Law Foundation testified in favor of retaining local discretion over granting family law jurisdiction, arguing that localized decision-making currently best meets the specific needs of communities. • Testimony underscored the importance of revising language around family law proceedings in the statutes to enhance clarity without imposing a one-size-fits-all mandate.</w:t>
      </w:r>
    </w:p>
    <w:p>
      <w:pPr>
        <w:spacing w:lineRule="auto"/>
      </w:pPr>
      <w:r>
        <w:rPr/>
        <w:t xml:space="preserve">III. Fiduciary Litigation, Recusal Procedures, and Probate Court Concerns</w:t>
      </w:r>
      <w:r>
        <w:rPr/>
        <w:br w:type="textWrapping"/>
      </w:r>
      <w:r>
        <w:rPr/>
        <w:t xml:space="preserve">• Discussions in this session focused on issues arising in fiduciary litigation, particularly in probate cases where guardianship arrangements and the administration of estates are scrutinized.</w:t>
      </w:r>
      <w:r>
        <w:rPr/>
        <w:br w:type="textWrapping"/>
      </w:r>
      <w:r>
        <w:rPr/>
        <w:t xml:space="preserve">• Witnesses highlighted recurring problems with repeated recusal motions in cases involving guardianship and fiduciary litigation—recusals that sometimes lead to a “snowballing” effect, potentially exhausting limited judicial resources and increasing legal costs.</w:t>
      </w:r>
      <w:r>
        <w:rPr/>
        <w:br w:type="textWrapping"/>
      </w:r>
      <w:r>
        <w:rPr/>
        <w:t xml:space="preserve">• Participants observed that the existing tertiary recusal provision, which allows a judge to proceed after three recusal motions, might inadvertently promote continuous challenges against judicial assignments.</w:t>
      </w:r>
      <w:r>
        <w:rPr/>
        <w:br w:type="textWrapping"/>
      </w:r>
      <w:r>
        <w:rPr/>
        <w:t xml:space="preserve">• Concerns were raised regarding the financial impact of these recusal motions on estates, especially when high legal fees and attorney fees for court-appointed guardians further deplete estate assets. • Recommendations were made to modify recusal statutes to cap the number of permissible motions and to regulate fees more rigorously, ensuring that guardians’ compensation remains fair and that the best interests of the wards are ultimately protected.</w:t>
      </w:r>
    </w:p>
    <w:p>
      <w:pPr>
        <w:spacing w:lineRule="auto"/>
      </w:pPr>
      <w:r>
        <w:rPr/>
        <w:t xml:space="preserve">Overall, the hearings provided a forum for stakeholders—from judges and court administrators to representatives of the legal profession—to discuss the evolving needs of the Texas judicial system. The testimonies underscored the necessity for legislative updates in response to technological advances in court reporting, the variable jurisdictional practices in county courts, and the challenges posed by excessive recusal motions and legal fees in probate matters. The overarching goal was to seek improvements that promote efficiency, fairness, and accountability within Texas courts.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color xmlns:ns3="http://schemas.openxmlformats.org/wordprocessingml/2006/main" ns3:val="4b5563"/>
          <rStyle xmlns:ns4="http://schemas.openxmlformats.org/wordprocessingml/2006/main" ns4:val="Hyperlink"/>
        </rPr>
        <t xml:space="preserve">https://www.cetient.com/research/c9e85c84-8f07-4334-be27-1828722c389f</t>
      </r>
    </hyperlink>
  </p>
</ftr>
</file>

<file path=word/header1.xml><?xml version="1.0" encoding="utf-8"?>
<hdr xmlns="http://schemas.openxmlformats.org/wordprocessingml/2006/main">
  <p>
    <pPr>
      <spacing xmlns:ns1="http://schemas.openxmlformats.org/wordprocessingml/2006/main" ns1:lineRule="auto"/>
    </pPr>
    <r>
      <rPr>
        <color xmlns:ns2="http://schemas.openxmlformats.org/wordprocessingml/2006/main" ns2:val="4b5563"/>
      </rPr>
      <t xml:space="preserve">Exported by Cetient Legal Research AI </t>
    </r>
    <hyperlink xmlns:ns3="http://schemas.openxmlformats.org/officeDocument/2006/relationships" ns3:id="rId1">
      <r>
        <rPr>
          <color xmlns:ns4="http://schemas.openxmlformats.org/wordprocessingml/2006/main" ns4:val="4b5563"/>
          <rStyle xmlns:ns5="http://schemas.openxmlformats.org/wordprocessingml/2006/main" ns5:val="Hyperlink"/>
        </rPr>
        <t xml:space="preserve">https://www.cetient.com</t>
      </r>
    </hyperlink>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paragraph" w:styleId="Normal" w:default="1">
    <w:name w:val="normal"/>
  </w:style>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cetient.com/research/c9e85c84-8f07-4334-be27-1828722c389f" TargetMode="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etie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2-3f] 2006-10-11 791070a October 11 2006 Texas Senate Hearing on Jurisprudence.docx</dc:title>
  <dc:subject/>
  <dc:creator>Cetient Legal Research AI (https://www.cetient.com)</dc:creator>
  <cp:keywords>html-to-docx</cp:keywords>
  <dc:description/>
  <cp:lastModifiedBy>html-to-docx</cp:lastModifiedBy>
  <cp:revision>1</cp:revision>
  <dcterms:created xsi:type="dcterms:W3CDTF">2025-04-21T18:29:46.806Z</dcterms:created>
  <dcterms:modified xsi:type="dcterms:W3CDTF">2025-04-21T18:29:46.806Z</dcterms:modified>
</cp:coreProperties>
</file>